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70"/>
        <w:gridCol w:w="6302"/>
      </w:tblGrid>
      <w:tr w:rsidR="0014539D" w:rsidRPr="00806BED" w14:paraId="6C43BA2B" w14:textId="77777777" w:rsidTr="00806BED">
        <w:tc>
          <w:tcPr>
            <w:tcW w:w="2943" w:type="dxa"/>
            <w:tcBorders>
              <w:top w:val="nil"/>
              <w:left w:val="nil"/>
              <w:bottom w:val="nil"/>
              <w:right w:val="nil"/>
              <w:tl2br w:val="nil"/>
              <w:tr2bl w:val="nil"/>
            </w:tcBorders>
            <w:tcMar>
              <w:top w:w="0" w:type="dxa"/>
              <w:left w:w="108" w:type="dxa"/>
              <w:bottom w:w="0" w:type="dxa"/>
              <w:right w:w="108" w:type="dxa"/>
            </w:tcMar>
          </w:tcPr>
          <w:p w14:paraId="2F4CF674" w14:textId="7216CE0D" w:rsidR="0014539D" w:rsidRPr="00806BED" w:rsidRDefault="00000000" w:rsidP="00FA0892">
            <w:pPr>
              <w:spacing w:before="60" w:after="60" w:line="340" w:lineRule="exact"/>
              <w:jc w:val="center"/>
              <w:rPr>
                <w:sz w:val="28"/>
                <w:szCs w:val="28"/>
                <w:vertAlign w:val="superscript"/>
                <w:lang w:val="en-US"/>
              </w:rPr>
            </w:pPr>
            <w:r w:rsidRPr="00806BED">
              <w:rPr>
                <w:b/>
                <w:bCs/>
                <w:sz w:val="28"/>
                <w:szCs w:val="28"/>
              </w:rPr>
              <w:t>BỘ Y TẾ</w:t>
            </w:r>
            <w:r w:rsidRPr="00806BED">
              <w:rPr>
                <w:b/>
                <w:bCs/>
                <w:sz w:val="28"/>
                <w:szCs w:val="28"/>
              </w:rPr>
              <w:br/>
            </w:r>
            <w:r w:rsidR="00806BED" w:rsidRPr="00806BED">
              <w:rPr>
                <w:sz w:val="28"/>
                <w:szCs w:val="28"/>
                <w:vertAlign w:val="superscript"/>
                <w:lang w:val="en-US"/>
              </w:rPr>
              <w:t>__________</w:t>
            </w:r>
          </w:p>
        </w:tc>
        <w:tc>
          <w:tcPr>
            <w:tcW w:w="6663" w:type="dxa"/>
            <w:tcBorders>
              <w:top w:val="nil"/>
              <w:left w:val="nil"/>
              <w:bottom w:val="nil"/>
              <w:right w:val="nil"/>
              <w:tl2br w:val="nil"/>
              <w:tr2bl w:val="nil"/>
            </w:tcBorders>
            <w:tcMar>
              <w:top w:w="0" w:type="dxa"/>
              <w:left w:w="108" w:type="dxa"/>
              <w:bottom w:w="0" w:type="dxa"/>
              <w:right w:w="108" w:type="dxa"/>
            </w:tcMar>
          </w:tcPr>
          <w:p w14:paraId="36977A83" w14:textId="65129632" w:rsidR="0014539D" w:rsidRPr="00806BED" w:rsidRDefault="00000000" w:rsidP="00FA0892">
            <w:pPr>
              <w:spacing w:before="60" w:after="60" w:line="340" w:lineRule="exact"/>
              <w:jc w:val="center"/>
              <w:rPr>
                <w:sz w:val="28"/>
                <w:szCs w:val="28"/>
                <w:vertAlign w:val="superscript"/>
                <w:lang w:val="en-US"/>
              </w:rPr>
            </w:pPr>
            <w:r w:rsidRPr="00806BED">
              <w:rPr>
                <w:b/>
                <w:bCs/>
                <w:sz w:val="28"/>
                <w:szCs w:val="28"/>
              </w:rPr>
              <w:t>CỘNG HÒA XÃ HỘI CHỦ NGHĨA VIỆT NAM</w:t>
            </w:r>
            <w:r w:rsidRPr="00806BED">
              <w:rPr>
                <w:b/>
                <w:bCs/>
                <w:sz w:val="28"/>
                <w:szCs w:val="28"/>
              </w:rPr>
              <w:br/>
              <w:t xml:space="preserve">Độc lập - Tự do - Hạnh phúc </w:t>
            </w:r>
            <w:r w:rsidRPr="00806BED">
              <w:rPr>
                <w:b/>
                <w:bCs/>
                <w:sz w:val="28"/>
                <w:szCs w:val="28"/>
              </w:rPr>
              <w:br/>
            </w:r>
            <w:r w:rsidR="00806BED" w:rsidRPr="00806BED">
              <w:rPr>
                <w:b/>
                <w:bCs/>
                <w:sz w:val="28"/>
                <w:szCs w:val="28"/>
                <w:vertAlign w:val="superscript"/>
                <w:lang w:val="en-US"/>
              </w:rPr>
              <w:t>___________________________________</w:t>
            </w:r>
          </w:p>
        </w:tc>
      </w:tr>
      <w:tr w:rsidR="0014539D" w:rsidRPr="00806BED" w14:paraId="160E8A96" w14:textId="77777777" w:rsidTr="00806BED">
        <w:tblPrEx>
          <w:tblBorders>
            <w:top w:val="none" w:sz="0" w:space="0" w:color="auto"/>
            <w:bottom w:val="none" w:sz="0" w:space="0" w:color="auto"/>
            <w:insideH w:val="none" w:sz="0" w:space="0" w:color="auto"/>
            <w:insideV w:val="none" w:sz="0" w:space="0" w:color="auto"/>
          </w:tblBorders>
        </w:tblPrEx>
        <w:tc>
          <w:tcPr>
            <w:tcW w:w="2943" w:type="dxa"/>
            <w:tcBorders>
              <w:top w:val="nil"/>
              <w:left w:val="nil"/>
              <w:bottom w:val="nil"/>
              <w:right w:val="nil"/>
              <w:tl2br w:val="nil"/>
              <w:tr2bl w:val="nil"/>
            </w:tcBorders>
            <w:tcMar>
              <w:top w:w="0" w:type="dxa"/>
              <w:left w:w="108" w:type="dxa"/>
              <w:bottom w:w="0" w:type="dxa"/>
              <w:right w:w="108" w:type="dxa"/>
            </w:tcMar>
          </w:tcPr>
          <w:p w14:paraId="7D4A07DE" w14:textId="3D1A77B1" w:rsidR="0014539D" w:rsidRPr="00806BED" w:rsidRDefault="00000000" w:rsidP="00FA0892">
            <w:pPr>
              <w:spacing w:before="60" w:after="60" w:line="340" w:lineRule="exact"/>
              <w:jc w:val="center"/>
              <w:rPr>
                <w:sz w:val="28"/>
                <w:szCs w:val="28"/>
              </w:rPr>
            </w:pPr>
            <w:r w:rsidRPr="00806BED">
              <w:rPr>
                <w:sz w:val="28"/>
                <w:szCs w:val="28"/>
              </w:rPr>
              <w:t xml:space="preserve">Số: </w:t>
            </w:r>
            <w:r w:rsidR="00806BED" w:rsidRPr="00806BED">
              <w:rPr>
                <w:sz w:val="28"/>
                <w:szCs w:val="28"/>
                <w:lang w:val="en-US"/>
              </w:rPr>
              <w:t xml:space="preserve">     </w:t>
            </w:r>
            <w:r w:rsidRPr="00806BED">
              <w:rPr>
                <w:sz w:val="28"/>
                <w:szCs w:val="28"/>
              </w:rPr>
              <w:t>/202</w:t>
            </w:r>
            <w:r w:rsidR="00806BED" w:rsidRPr="00806BED">
              <w:rPr>
                <w:sz w:val="28"/>
                <w:szCs w:val="28"/>
                <w:lang w:val="en-US"/>
              </w:rPr>
              <w:t>6</w:t>
            </w:r>
            <w:r w:rsidRPr="00806BED">
              <w:rPr>
                <w:sz w:val="28"/>
                <w:szCs w:val="28"/>
              </w:rPr>
              <w:t>/TT-BYT</w:t>
            </w:r>
          </w:p>
        </w:tc>
        <w:tc>
          <w:tcPr>
            <w:tcW w:w="6663" w:type="dxa"/>
            <w:tcBorders>
              <w:top w:val="nil"/>
              <w:left w:val="nil"/>
              <w:bottom w:val="nil"/>
              <w:right w:val="nil"/>
              <w:tl2br w:val="nil"/>
              <w:tr2bl w:val="nil"/>
            </w:tcBorders>
            <w:tcMar>
              <w:top w:w="0" w:type="dxa"/>
              <w:left w:w="108" w:type="dxa"/>
              <w:bottom w:w="0" w:type="dxa"/>
              <w:right w:w="108" w:type="dxa"/>
            </w:tcMar>
          </w:tcPr>
          <w:p w14:paraId="1C1CC06B" w14:textId="2B5A554C" w:rsidR="0014539D" w:rsidRPr="00806BED" w:rsidRDefault="00000000" w:rsidP="00FA0892">
            <w:pPr>
              <w:spacing w:before="60" w:after="60" w:line="340" w:lineRule="exact"/>
              <w:jc w:val="center"/>
              <w:rPr>
                <w:sz w:val="28"/>
                <w:szCs w:val="28"/>
                <w:lang w:val="en-US"/>
              </w:rPr>
            </w:pPr>
            <w:r w:rsidRPr="00806BED">
              <w:rPr>
                <w:i/>
                <w:iCs/>
                <w:sz w:val="28"/>
                <w:szCs w:val="28"/>
              </w:rPr>
              <w:t>Hà Nội, ngày</w:t>
            </w:r>
            <w:r w:rsidR="00806BED" w:rsidRPr="00806BED">
              <w:rPr>
                <w:i/>
                <w:iCs/>
                <w:sz w:val="28"/>
                <w:szCs w:val="28"/>
                <w:lang w:val="en-US"/>
              </w:rPr>
              <w:t xml:space="preserve">    </w:t>
            </w:r>
            <w:r w:rsidRPr="00806BED">
              <w:rPr>
                <w:i/>
                <w:iCs/>
                <w:sz w:val="28"/>
                <w:szCs w:val="28"/>
              </w:rPr>
              <w:t xml:space="preserve"> tháng </w:t>
            </w:r>
            <w:r w:rsidR="00806BED" w:rsidRPr="00806BED">
              <w:rPr>
                <w:i/>
                <w:iCs/>
                <w:sz w:val="28"/>
                <w:szCs w:val="28"/>
                <w:lang w:val="en-US"/>
              </w:rPr>
              <w:t xml:space="preserve">    </w:t>
            </w:r>
            <w:r w:rsidRPr="00806BED">
              <w:rPr>
                <w:i/>
                <w:iCs/>
                <w:sz w:val="28"/>
                <w:szCs w:val="28"/>
              </w:rPr>
              <w:t xml:space="preserve"> năm 202</w:t>
            </w:r>
            <w:r w:rsidR="00806BED" w:rsidRPr="00806BED">
              <w:rPr>
                <w:i/>
                <w:iCs/>
                <w:sz w:val="28"/>
                <w:szCs w:val="28"/>
                <w:lang w:val="en-US"/>
              </w:rPr>
              <w:t>6</w:t>
            </w:r>
          </w:p>
        </w:tc>
      </w:tr>
    </w:tbl>
    <w:p w14:paraId="46E75B6F" w14:textId="77777777" w:rsidR="0014539D" w:rsidRPr="00806BED" w:rsidRDefault="00000000" w:rsidP="00FA0892">
      <w:pPr>
        <w:spacing w:before="60" w:after="60" w:line="340" w:lineRule="exact"/>
        <w:rPr>
          <w:sz w:val="28"/>
          <w:szCs w:val="28"/>
        </w:rPr>
      </w:pPr>
      <w:r w:rsidRPr="00806BED">
        <w:rPr>
          <w:sz w:val="28"/>
          <w:szCs w:val="28"/>
        </w:rPr>
        <w:t> </w:t>
      </w:r>
    </w:p>
    <w:p w14:paraId="34AB7AFB" w14:textId="77777777" w:rsidR="0014539D" w:rsidRPr="00806BED" w:rsidRDefault="00000000" w:rsidP="00FA0892">
      <w:pPr>
        <w:spacing w:before="60" w:after="60" w:line="340" w:lineRule="exact"/>
        <w:jc w:val="center"/>
        <w:rPr>
          <w:sz w:val="28"/>
          <w:szCs w:val="28"/>
        </w:rPr>
      </w:pPr>
      <w:bookmarkStart w:id="0" w:name="loai_1"/>
      <w:r w:rsidRPr="00806BED">
        <w:rPr>
          <w:b/>
          <w:bCs/>
          <w:sz w:val="28"/>
          <w:szCs w:val="28"/>
        </w:rPr>
        <w:t>THÔNG TƯ</w:t>
      </w:r>
      <w:bookmarkEnd w:id="0"/>
    </w:p>
    <w:p w14:paraId="3199B7DE" w14:textId="10E5D0D1" w:rsidR="0014539D" w:rsidRDefault="00330472" w:rsidP="00FA0892">
      <w:pPr>
        <w:spacing w:before="60" w:after="60" w:line="340" w:lineRule="exact"/>
        <w:jc w:val="center"/>
        <w:rPr>
          <w:b/>
          <w:bCs/>
          <w:sz w:val="28"/>
          <w:szCs w:val="28"/>
          <w:lang w:val="en-US"/>
        </w:rPr>
      </w:pPr>
      <w:bookmarkStart w:id="1" w:name="loai_1_name"/>
      <w:r>
        <w:rPr>
          <w:b/>
          <w:bCs/>
          <w:sz w:val="28"/>
          <w:szCs w:val="28"/>
          <w:lang w:val="en-US"/>
        </w:rPr>
        <w:t>B</w:t>
      </w:r>
      <w:r w:rsidR="00FA0892" w:rsidRPr="00FA0892">
        <w:rPr>
          <w:b/>
          <w:bCs/>
          <w:sz w:val="28"/>
          <w:szCs w:val="28"/>
        </w:rPr>
        <w:t xml:space="preserve">ãi bỏ một số văn bản quy phạm pháp luật do </w:t>
      </w:r>
      <w:r>
        <w:rPr>
          <w:b/>
          <w:bCs/>
          <w:sz w:val="28"/>
          <w:szCs w:val="28"/>
          <w:lang w:val="en-US"/>
        </w:rPr>
        <w:t>B</w:t>
      </w:r>
      <w:r w:rsidR="00FA0892" w:rsidRPr="00FA0892">
        <w:rPr>
          <w:b/>
          <w:bCs/>
          <w:sz w:val="28"/>
          <w:szCs w:val="28"/>
        </w:rPr>
        <w:t xml:space="preserve">ộ trưởng </w:t>
      </w:r>
      <w:r>
        <w:rPr>
          <w:b/>
          <w:bCs/>
          <w:sz w:val="28"/>
          <w:szCs w:val="28"/>
          <w:lang w:val="en-US"/>
        </w:rPr>
        <w:t>B</w:t>
      </w:r>
      <w:r w:rsidR="00FA0892" w:rsidRPr="00FA0892">
        <w:rPr>
          <w:b/>
          <w:bCs/>
          <w:sz w:val="28"/>
          <w:szCs w:val="28"/>
        </w:rPr>
        <w:t xml:space="preserve">ộ </w:t>
      </w:r>
      <w:r>
        <w:rPr>
          <w:b/>
          <w:bCs/>
          <w:sz w:val="28"/>
          <w:szCs w:val="28"/>
          <w:lang w:val="en-US"/>
        </w:rPr>
        <w:t>Y</w:t>
      </w:r>
      <w:r w:rsidR="00FA0892" w:rsidRPr="00FA0892">
        <w:rPr>
          <w:b/>
          <w:bCs/>
          <w:sz w:val="28"/>
          <w:szCs w:val="28"/>
        </w:rPr>
        <w:t xml:space="preserve"> tế ban hành </w:t>
      </w:r>
      <w:bookmarkEnd w:id="1"/>
    </w:p>
    <w:p w14:paraId="43F8AA9D" w14:textId="4CD8A4CB" w:rsidR="00FA0892" w:rsidRPr="00FA0892" w:rsidRDefault="00FA0892" w:rsidP="00FA0892">
      <w:pPr>
        <w:spacing w:before="60" w:after="60" w:line="340" w:lineRule="exact"/>
        <w:jc w:val="center"/>
        <w:rPr>
          <w:b/>
          <w:bCs/>
          <w:sz w:val="28"/>
          <w:szCs w:val="28"/>
          <w:vertAlign w:val="superscript"/>
          <w:lang w:val="en-US"/>
        </w:rPr>
      </w:pPr>
      <w:r>
        <w:rPr>
          <w:b/>
          <w:bCs/>
          <w:sz w:val="28"/>
          <w:szCs w:val="28"/>
          <w:vertAlign w:val="superscript"/>
          <w:lang w:val="en-US"/>
        </w:rPr>
        <w:t>_____________________</w:t>
      </w:r>
    </w:p>
    <w:p w14:paraId="712F7A77" w14:textId="7E61DBAD" w:rsidR="0014539D" w:rsidRPr="00806BED" w:rsidRDefault="00000000" w:rsidP="009A24EF">
      <w:pPr>
        <w:spacing w:before="60" w:after="60" w:line="330" w:lineRule="exact"/>
        <w:ind w:firstLine="709"/>
        <w:jc w:val="both"/>
        <w:rPr>
          <w:sz w:val="28"/>
          <w:szCs w:val="28"/>
        </w:rPr>
      </w:pPr>
      <w:r w:rsidRPr="00806BED">
        <w:rPr>
          <w:i/>
          <w:iCs/>
          <w:sz w:val="28"/>
          <w:szCs w:val="28"/>
        </w:rPr>
        <w:t xml:space="preserve">Căn cứ </w:t>
      </w:r>
      <w:bookmarkStart w:id="2" w:name="tvpllink_wmctndtokn"/>
      <w:r w:rsidRPr="00806BED">
        <w:rPr>
          <w:i/>
          <w:iCs/>
          <w:sz w:val="28"/>
          <w:szCs w:val="28"/>
        </w:rPr>
        <w:t>Luật ban hành văn bản quy phạm pháp luật số 64/2025/QH15</w:t>
      </w:r>
      <w:bookmarkEnd w:id="2"/>
      <w:r w:rsidR="00330472">
        <w:rPr>
          <w:i/>
          <w:iCs/>
          <w:sz w:val="28"/>
          <w:szCs w:val="28"/>
          <w:lang w:val="en-US"/>
        </w:rPr>
        <w:t xml:space="preserve"> đã được sửa đổi, bổ sung </w:t>
      </w:r>
      <w:r w:rsidR="00E51B66">
        <w:rPr>
          <w:i/>
          <w:iCs/>
          <w:sz w:val="28"/>
          <w:szCs w:val="28"/>
          <w:lang w:val="en-US"/>
        </w:rPr>
        <w:t xml:space="preserve">một số điều </w:t>
      </w:r>
      <w:bookmarkStart w:id="3" w:name="tvpllink_bpqnxsxopt"/>
      <w:r w:rsidR="00E51B66">
        <w:rPr>
          <w:i/>
          <w:iCs/>
          <w:sz w:val="28"/>
          <w:szCs w:val="28"/>
          <w:lang w:val="en-US"/>
        </w:rPr>
        <w:t>theo L</w:t>
      </w:r>
      <w:r w:rsidRPr="00806BED">
        <w:rPr>
          <w:i/>
          <w:iCs/>
          <w:sz w:val="28"/>
          <w:szCs w:val="28"/>
        </w:rPr>
        <w:t>uật số 87/2025/QH15</w:t>
      </w:r>
      <w:bookmarkEnd w:id="3"/>
      <w:r w:rsidRPr="00806BED">
        <w:rPr>
          <w:i/>
          <w:iCs/>
          <w:sz w:val="28"/>
          <w:szCs w:val="28"/>
        </w:rPr>
        <w:t>;</w:t>
      </w:r>
    </w:p>
    <w:p w14:paraId="457A179F" w14:textId="3E4A3D4C" w:rsidR="0014539D" w:rsidRPr="00806BED" w:rsidRDefault="00000000" w:rsidP="009A24EF">
      <w:pPr>
        <w:spacing w:before="60" w:after="60" w:line="330" w:lineRule="exact"/>
        <w:ind w:firstLine="709"/>
        <w:jc w:val="both"/>
        <w:rPr>
          <w:sz w:val="28"/>
          <w:szCs w:val="28"/>
        </w:rPr>
      </w:pPr>
      <w:r w:rsidRPr="00806BED">
        <w:rPr>
          <w:i/>
          <w:iCs/>
          <w:sz w:val="28"/>
          <w:szCs w:val="28"/>
        </w:rPr>
        <w:t xml:space="preserve">Căn cứ Nghị định số </w:t>
      </w:r>
      <w:bookmarkStart w:id="4" w:name="tvpllink_qfilsybyzh"/>
      <w:r w:rsidRPr="00806BED">
        <w:rPr>
          <w:i/>
          <w:iCs/>
          <w:sz w:val="28"/>
          <w:szCs w:val="28"/>
        </w:rPr>
        <w:t>78/2025/NĐ-CP</w:t>
      </w:r>
      <w:bookmarkEnd w:id="4"/>
      <w:r w:rsidRPr="00806BED">
        <w:rPr>
          <w:i/>
          <w:iCs/>
          <w:sz w:val="28"/>
          <w:szCs w:val="28"/>
        </w:rPr>
        <w:t xml:space="preserve"> ngày 01 tháng 4 năm 2025 của Chính phủ quy định chi tiết một số điều và biện pháp để tổ chức, hướng dẫn thi hành </w:t>
      </w:r>
      <w:bookmarkStart w:id="5" w:name="tvpllink_wmctndtokn_1"/>
      <w:r w:rsidRPr="00806BED">
        <w:rPr>
          <w:i/>
          <w:iCs/>
          <w:sz w:val="28"/>
          <w:szCs w:val="28"/>
        </w:rPr>
        <w:t>Luật Ban hành văn bản quy phạm pháp luật</w:t>
      </w:r>
      <w:bookmarkEnd w:id="5"/>
      <w:r w:rsidR="00E51B66">
        <w:rPr>
          <w:i/>
          <w:iCs/>
          <w:sz w:val="28"/>
          <w:szCs w:val="28"/>
          <w:lang w:val="en-US"/>
        </w:rPr>
        <w:t xml:space="preserve"> đã được sửa đổi, bổ sung một số điều theo </w:t>
      </w:r>
      <w:r w:rsidRPr="00806BED">
        <w:rPr>
          <w:i/>
          <w:iCs/>
          <w:sz w:val="28"/>
          <w:szCs w:val="28"/>
        </w:rPr>
        <w:t xml:space="preserve">Nghị định số </w:t>
      </w:r>
      <w:bookmarkStart w:id="6" w:name="tvpllink_ylujkvtwfh"/>
      <w:r w:rsidRPr="00806BED">
        <w:rPr>
          <w:i/>
          <w:iCs/>
          <w:sz w:val="28"/>
          <w:szCs w:val="28"/>
        </w:rPr>
        <w:t>187/2025/NĐ-</w:t>
      </w:r>
      <w:bookmarkEnd w:id="6"/>
      <w:r w:rsidR="00E51B66">
        <w:rPr>
          <w:i/>
          <w:iCs/>
          <w:sz w:val="28"/>
          <w:szCs w:val="28"/>
          <w:lang w:val="en-US"/>
        </w:rPr>
        <w:t>CP</w:t>
      </w:r>
      <w:r w:rsidRPr="00806BED">
        <w:rPr>
          <w:i/>
          <w:iCs/>
          <w:sz w:val="28"/>
          <w:szCs w:val="28"/>
        </w:rPr>
        <w:t>;</w:t>
      </w:r>
    </w:p>
    <w:p w14:paraId="77E91A48" w14:textId="77777777" w:rsidR="0014539D" w:rsidRPr="00E51B66" w:rsidRDefault="00000000" w:rsidP="009A24EF">
      <w:pPr>
        <w:spacing w:before="60" w:after="60" w:line="330" w:lineRule="exact"/>
        <w:ind w:firstLine="709"/>
        <w:jc w:val="both"/>
        <w:rPr>
          <w:spacing w:val="-6"/>
          <w:sz w:val="28"/>
          <w:szCs w:val="28"/>
        </w:rPr>
      </w:pPr>
      <w:r w:rsidRPr="00E51B66">
        <w:rPr>
          <w:i/>
          <w:iCs/>
          <w:spacing w:val="-6"/>
          <w:sz w:val="28"/>
          <w:szCs w:val="28"/>
        </w:rPr>
        <w:t xml:space="preserve">Căn cứ Nghị định số </w:t>
      </w:r>
      <w:bookmarkStart w:id="7" w:name="tvpllink_pjdggapugf"/>
      <w:r w:rsidRPr="00E51B66">
        <w:rPr>
          <w:i/>
          <w:iCs/>
          <w:spacing w:val="-6"/>
          <w:sz w:val="28"/>
          <w:szCs w:val="28"/>
        </w:rPr>
        <w:t>42/2025/NĐ-CP</w:t>
      </w:r>
      <w:bookmarkEnd w:id="7"/>
      <w:r w:rsidRPr="00E51B66">
        <w:rPr>
          <w:i/>
          <w:iCs/>
          <w:spacing w:val="-6"/>
          <w:sz w:val="28"/>
          <w:szCs w:val="28"/>
        </w:rPr>
        <w:t xml:space="preserve"> ngày 27 tháng 02 năm 2025 của Chính phủ quy định chức năng, nhiệm vụ, quyền hạn và cơ cấu tổ chức của Bộ Y tế;</w:t>
      </w:r>
    </w:p>
    <w:p w14:paraId="44A22F19" w14:textId="45F9BF33" w:rsidR="0014539D" w:rsidRPr="00806BED" w:rsidRDefault="00000000" w:rsidP="009A24EF">
      <w:pPr>
        <w:spacing w:before="60" w:after="60" w:line="330" w:lineRule="exact"/>
        <w:ind w:firstLine="709"/>
        <w:jc w:val="both"/>
        <w:rPr>
          <w:sz w:val="28"/>
          <w:szCs w:val="28"/>
        </w:rPr>
      </w:pPr>
      <w:r w:rsidRPr="00806BED">
        <w:rPr>
          <w:i/>
          <w:iCs/>
          <w:sz w:val="28"/>
          <w:szCs w:val="28"/>
        </w:rPr>
        <w:t>Theo đề nghị của Vụ trưởng Vụ Pháp chế;</w:t>
      </w:r>
    </w:p>
    <w:p w14:paraId="1CF59E23" w14:textId="1928E557" w:rsidR="0014539D" w:rsidRDefault="00000000" w:rsidP="009A24EF">
      <w:pPr>
        <w:spacing w:before="60" w:after="60" w:line="330" w:lineRule="exact"/>
        <w:ind w:firstLine="709"/>
        <w:jc w:val="both"/>
        <w:rPr>
          <w:i/>
          <w:iCs/>
          <w:sz w:val="28"/>
          <w:szCs w:val="28"/>
          <w:lang w:val="en-US"/>
        </w:rPr>
      </w:pPr>
      <w:r w:rsidRPr="00806BED">
        <w:rPr>
          <w:i/>
          <w:iCs/>
          <w:sz w:val="28"/>
          <w:szCs w:val="28"/>
        </w:rPr>
        <w:t>Bộ trưởng Bộ Y tế ban hành Thông tư bãi bỏ một số văn bản quy phạm pháp luật do Bộ trưởng Bộ Y tế ban hành.</w:t>
      </w:r>
    </w:p>
    <w:p w14:paraId="1505D1E3" w14:textId="77777777" w:rsidR="00E51B66" w:rsidRPr="00E51B66" w:rsidRDefault="00E51B66" w:rsidP="00330472">
      <w:pPr>
        <w:spacing w:before="60" w:after="60" w:line="340" w:lineRule="exact"/>
        <w:ind w:firstLine="709"/>
        <w:jc w:val="both"/>
        <w:rPr>
          <w:sz w:val="28"/>
          <w:szCs w:val="28"/>
          <w:lang w:val="en-US"/>
        </w:rPr>
      </w:pPr>
    </w:p>
    <w:p w14:paraId="15C06634" w14:textId="0DC9E09E" w:rsidR="0014539D" w:rsidRPr="00806BED" w:rsidRDefault="00000000" w:rsidP="009A24EF">
      <w:pPr>
        <w:spacing w:before="60" w:after="60" w:line="340" w:lineRule="exact"/>
        <w:ind w:firstLine="709"/>
        <w:jc w:val="both"/>
        <w:rPr>
          <w:sz w:val="28"/>
          <w:szCs w:val="28"/>
        </w:rPr>
      </w:pPr>
      <w:bookmarkStart w:id="8" w:name="dieu_1"/>
      <w:r w:rsidRPr="00806BED">
        <w:rPr>
          <w:b/>
          <w:bCs/>
          <w:sz w:val="28"/>
          <w:szCs w:val="28"/>
        </w:rPr>
        <w:t xml:space="preserve">Điều 1. Bãi bỏ toàn bộ </w:t>
      </w:r>
      <w:r w:rsidR="00E51B66">
        <w:rPr>
          <w:b/>
          <w:bCs/>
          <w:sz w:val="28"/>
          <w:szCs w:val="28"/>
          <w:lang w:val="en-US"/>
        </w:rPr>
        <w:t>0</w:t>
      </w:r>
      <w:r w:rsidR="00B578E4">
        <w:rPr>
          <w:b/>
          <w:bCs/>
          <w:sz w:val="28"/>
          <w:szCs w:val="28"/>
          <w:lang w:val="en-US"/>
        </w:rPr>
        <w:t>1</w:t>
      </w:r>
      <w:r w:rsidRPr="00806BED">
        <w:rPr>
          <w:b/>
          <w:bCs/>
          <w:sz w:val="28"/>
          <w:szCs w:val="28"/>
        </w:rPr>
        <w:t xml:space="preserve"> văn bản quy phạm pháp luật do Bộ trưởng Bộ Y tế ban hành</w:t>
      </w:r>
      <w:bookmarkEnd w:id="8"/>
    </w:p>
    <w:p w14:paraId="2432EDB6" w14:textId="4EA93318" w:rsidR="00FD46D8" w:rsidRPr="009A24EF" w:rsidRDefault="00FD46D8" w:rsidP="009A24EF">
      <w:pPr>
        <w:spacing w:before="60" w:after="60" w:line="340" w:lineRule="exact"/>
        <w:ind w:firstLine="709"/>
        <w:jc w:val="both"/>
        <w:rPr>
          <w:spacing w:val="-2"/>
          <w:sz w:val="28"/>
          <w:szCs w:val="28"/>
          <w:lang w:val="en-US"/>
        </w:rPr>
      </w:pPr>
      <w:r w:rsidRPr="009A24EF">
        <w:rPr>
          <w:spacing w:val="-2"/>
          <w:sz w:val="28"/>
          <w:szCs w:val="28"/>
          <w:lang w:val="en-US"/>
        </w:rPr>
        <w:t>Thông tư số 20/2024/TT-BYT ngày 14 tháng 10 năm 2024 của Bộ trưởng Bộ Y tế sửa đổi, bổ sung một số điều của Thông tư số 09/2015/TT-BYT ngày 25 tháng 5 năm 2015 của Bộ trưởng Bộ Y tế quy định về xác nhận nội dung quảng cáo đối với sản phẩm, hàng hóa, dịch vụ đặc biệt thuộc lĩnh vực quản lý của Bộ Y tế.</w:t>
      </w:r>
    </w:p>
    <w:p w14:paraId="19A1EA7B" w14:textId="39EE05E9" w:rsidR="00B578E4" w:rsidRDefault="00FD46D8" w:rsidP="009A24EF">
      <w:pPr>
        <w:spacing w:before="60" w:after="60" w:line="340" w:lineRule="exact"/>
        <w:ind w:firstLine="709"/>
        <w:jc w:val="both"/>
        <w:rPr>
          <w:b/>
          <w:bCs/>
          <w:sz w:val="28"/>
          <w:szCs w:val="28"/>
          <w:lang w:val="en-US"/>
        </w:rPr>
      </w:pPr>
      <w:r w:rsidRPr="00FD46D8">
        <w:rPr>
          <w:b/>
          <w:bCs/>
          <w:sz w:val="28"/>
          <w:szCs w:val="28"/>
          <w:lang w:val="en-US"/>
        </w:rPr>
        <w:t xml:space="preserve">Điều 2. </w:t>
      </w:r>
      <w:r w:rsidR="00B578E4">
        <w:rPr>
          <w:b/>
          <w:bCs/>
          <w:sz w:val="28"/>
          <w:szCs w:val="28"/>
          <w:lang w:val="en-US"/>
        </w:rPr>
        <w:t>Bãi bỏ một phần 02 văn bản quy phạm pháp luật do Bộ trưởng Bộ Y tế ban hành</w:t>
      </w:r>
    </w:p>
    <w:p w14:paraId="7DFF26FF" w14:textId="147DDA11" w:rsidR="00B578E4" w:rsidRDefault="00B578E4" w:rsidP="009A24EF">
      <w:pPr>
        <w:spacing w:before="60" w:after="60" w:line="340" w:lineRule="exact"/>
        <w:ind w:firstLine="709"/>
        <w:jc w:val="both"/>
        <w:rPr>
          <w:sz w:val="28"/>
          <w:szCs w:val="28"/>
          <w:lang w:val="en-US"/>
        </w:rPr>
      </w:pPr>
      <w:r>
        <w:rPr>
          <w:sz w:val="28"/>
          <w:szCs w:val="28"/>
          <w:lang w:val="en-US"/>
        </w:rPr>
        <w:t xml:space="preserve">1. </w:t>
      </w:r>
      <w:r>
        <w:rPr>
          <w:sz w:val="28"/>
          <w:szCs w:val="28"/>
          <w:lang w:val="en-US"/>
        </w:rPr>
        <w:t xml:space="preserve">Bãi bỏ </w:t>
      </w:r>
      <w:r>
        <w:rPr>
          <w:sz w:val="28"/>
          <w:szCs w:val="28"/>
          <w:lang w:val="en-US"/>
        </w:rPr>
        <w:t xml:space="preserve">Thông tư số </w:t>
      </w:r>
      <w:r w:rsidRPr="00FD46D8">
        <w:rPr>
          <w:sz w:val="28"/>
          <w:szCs w:val="28"/>
          <w:lang w:val="en-US"/>
        </w:rPr>
        <w:t>09/2015/TT-BYT</w:t>
      </w:r>
      <w:r>
        <w:rPr>
          <w:sz w:val="28"/>
          <w:szCs w:val="28"/>
          <w:lang w:val="en-US"/>
        </w:rPr>
        <w:t xml:space="preserve">, trừ các nội dung </w:t>
      </w:r>
      <w:r w:rsidR="00907F95">
        <w:rPr>
          <w:sz w:val="28"/>
          <w:szCs w:val="28"/>
          <w:lang w:val="en-US"/>
        </w:rPr>
        <w:t>quy định tại</w:t>
      </w:r>
      <w:r w:rsidR="00907F95" w:rsidRPr="00907F95">
        <w:rPr>
          <w:sz w:val="28"/>
          <w:szCs w:val="28"/>
          <w:lang w:val="en-US"/>
        </w:rPr>
        <w:t xml:space="preserve"> </w:t>
      </w:r>
      <w:r w:rsidR="00907F95">
        <w:rPr>
          <w:sz w:val="28"/>
          <w:szCs w:val="28"/>
          <w:lang w:val="en-US"/>
        </w:rPr>
        <w:t>đ</w:t>
      </w:r>
      <w:r w:rsidR="00907F95" w:rsidRPr="00907F95">
        <w:rPr>
          <w:sz w:val="28"/>
          <w:szCs w:val="28"/>
          <w:lang w:val="en-US"/>
        </w:rPr>
        <w:t>iểm b, điểm c, điểm d, điểm đ Khoản 3 Điều 1;</w:t>
      </w:r>
      <w:r w:rsidR="00907F95">
        <w:rPr>
          <w:sz w:val="28"/>
          <w:szCs w:val="28"/>
          <w:lang w:val="en-US"/>
        </w:rPr>
        <w:t xml:space="preserve"> </w:t>
      </w:r>
      <w:r w:rsidR="00907F95" w:rsidRPr="00907F95">
        <w:rPr>
          <w:sz w:val="28"/>
          <w:szCs w:val="28"/>
          <w:lang w:val="en-US"/>
        </w:rPr>
        <w:t>Điều 7, Điều 10, Điều 16;</w:t>
      </w:r>
      <w:r w:rsidR="00907F95">
        <w:rPr>
          <w:sz w:val="28"/>
          <w:szCs w:val="28"/>
          <w:lang w:val="en-US"/>
        </w:rPr>
        <w:t xml:space="preserve"> đ</w:t>
      </w:r>
      <w:r w:rsidR="00907F95" w:rsidRPr="00907F95">
        <w:rPr>
          <w:sz w:val="28"/>
          <w:szCs w:val="28"/>
          <w:lang w:val="en-US"/>
        </w:rPr>
        <w:t>iểm b khoản 1 và khoản 3 Điều 12</w:t>
      </w:r>
      <w:r w:rsidR="00907F95">
        <w:rPr>
          <w:sz w:val="28"/>
          <w:szCs w:val="28"/>
          <w:lang w:val="en-US"/>
        </w:rPr>
        <w:t xml:space="preserve"> và p</w:t>
      </w:r>
      <w:r w:rsidR="00907F95" w:rsidRPr="00907F95">
        <w:rPr>
          <w:sz w:val="28"/>
          <w:szCs w:val="28"/>
        </w:rPr>
        <w:t>hạm vi điều chỉnh về xác nhận nội dung quảng cáo đối với thuốc</w:t>
      </w:r>
      <w:r w:rsidR="00907F95">
        <w:rPr>
          <w:sz w:val="28"/>
          <w:szCs w:val="28"/>
          <w:lang w:val="en-US"/>
        </w:rPr>
        <w:t xml:space="preserve"> tại Thông tư số 09/2015/TT-BYT đã bị bãi bỏ bởi Thông tư số 25/2018/TT-BYT ngày 28 tháng 9 năm 2018 của Bộ trưởng Bộ Y tế </w:t>
      </w:r>
      <w:r w:rsidR="00907F95" w:rsidRPr="00907F95">
        <w:rPr>
          <w:sz w:val="28"/>
          <w:szCs w:val="28"/>
          <w:lang w:val="en-US"/>
        </w:rPr>
        <w:t>bãi bỏ một số văn bản quy phạm pháp luật trong lĩnh vực y tế Bộ trưởng Bộ Y tế ban hành, liên tịch ban hành</w:t>
      </w:r>
      <w:r w:rsidR="00907F95">
        <w:rPr>
          <w:sz w:val="28"/>
          <w:szCs w:val="28"/>
          <w:lang w:val="en-US"/>
        </w:rPr>
        <w:t>.</w:t>
      </w:r>
    </w:p>
    <w:p w14:paraId="075FB714" w14:textId="28C91D19" w:rsidR="00B578E4" w:rsidRDefault="00692065" w:rsidP="009A24EF">
      <w:pPr>
        <w:spacing w:before="60" w:after="60" w:line="340" w:lineRule="exact"/>
        <w:ind w:firstLine="709"/>
        <w:jc w:val="both"/>
        <w:rPr>
          <w:b/>
          <w:bCs/>
          <w:sz w:val="28"/>
          <w:szCs w:val="28"/>
          <w:lang w:val="en-US"/>
        </w:rPr>
      </w:pPr>
      <w:r>
        <w:rPr>
          <w:sz w:val="28"/>
          <w:szCs w:val="28"/>
          <w:lang w:val="en-US"/>
        </w:rPr>
        <w:t xml:space="preserve">2. Bãi bỏ quy định tại khoản 3 Điều 4 Thông tư số </w:t>
      </w:r>
      <w:r w:rsidRPr="00692065">
        <w:rPr>
          <w:sz w:val="28"/>
          <w:szCs w:val="28"/>
          <w:lang w:val="en-US"/>
        </w:rPr>
        <w:t>57/2024/TT-BYT ngày 31 tháng 12 năm 2024 của Bộ trưởng Bộ Y tế quy định việc phân cấp giải quyết thủ tục hành chính trong lĩnh vực khám bệnh, chữa bệnh thuộc thẩm quyền quản lý của Bộ Y tế</w:t>
      </w:r>
      <w:r>
        <w:rPr>
          <w:sz w:val="28"/>
          <w:szCs w:val="28"/>
          <w:lang w:val="en-US"/>
        </w:rPr>
        <w:t>.</w:t>
      </w:r>
    </w:p>
    <w:p w14:paraId="46462F33" w14:textId="0566C612" w:rsidR="00FD46D8" w:rsidRPr="00FD46D8" w:rsidRDefault="00692065" w:rsidP="00E51B66">
      <w:pPr>
        <w:spacing w:before="120" w:after="120" w:line="340" w:lineRule="exact"/>
        <w:ind w:firstLine="709"/>
        <w:jc w:val="both"/>
        <w:rPr>
          <w:b/>
          <w:bCs/>
          <w:sz w:val="28"/>
          <w:szCs w:val="28"/>
          <w:lang w:val="en-US"/>
        </w:rPr>
      </w:pPr>
      <w:r>
        <w:rPr>
          <w:b/>
          <w:bCs/>
          <w:sz w:val="28"/>
          <w:szCs w:val="28"/>
          <w:lang w:val="en-US"/>
        </w:rPr>
        <w:lastRenderedPageBreak/>
        <w:t xml:space="preserve">Điều 3. </w:t>
      </w:r>
      <w:r w:rsidR="00FD46D8" w:rsidRPr="00FD46D8">
        <w:rPr>
          <w:b/>
          <w:bCs/>
          <w:sz w:val="28"/>
          <w:szCs w:val="28"/>
          <w:lang w:val="en-US"/>
        </w:rPr>
        <w:t>Điều khoản chuyển tiếp</w:t>
      </w:r>
    </w:p>
    <w:p w14:paraId="521CC1CD" w14:textId="34AB61F9" w:rsidR="00896964" w:rsidRDefault="00896964" w:rsidP="00E51B66">
      <w:pPr>
        <w:spacing w:before="120" w:after="120" w:line="340" w:lineRule="exact"/>
        <w:ind w:firstLine="709"/>
        <w:jc w:val="both"/>
        <w:rPr>
          <w:sz w:val="28"/>
          <w:szCs w:val="28"/>
          <w:lang w:val="en-US"/>
        </w:rPr>
      </w:pPr>
      <w:bookmarkStart w:id="9" w:name="dieu_3"/>
      <w:r w:rsidRPr="00896964">
        <w:rPr>
          <w:sz w:val="28"/>
          <w:szCs w:val="28"/>
          <w:lang w:val="en-US"/>
        </w:rPr>
        <w:t>Các giấy xác nhận</w:t>
      </w:r>
      <w:r>
        <w:rPr>
          <w:sz w:val="28"/>
          <w:szCs w:val="28"/>
          <w:lang w:val="en-US"/>
        </w:rPr>
        <w:t xml:space="preserve"> nội dung quảng cáo</w:t>
      </w:r>
      <w:r w:rsidRPr="00896964">
        <w:rPr>
          <w:sz w:val="28"/>
          <w:szCs w:val="28"/>
          <w:lang w:val="en-US"/>
        </w:rPr>
        <w:t xml:space="preserve"> đã được cấp theo quy định tại </w:t>
      </w:r>
      <w:r w:rsidR="009A24EF">
        <w:rPr>
          <w:sz w:val="28"/>
          <w:szCs w:val="28"/>
          <w:lang w:val="en-US"/>
        </w:rPr>
        <w:t>Thông tư số 09/2015/TT-BYT và Thông tư số 20/2024/TT-BYT</w:t>
      </w:r>
      <w:r w:rsidRPr="00896964">
        <w:rPr>
          <w:sz w:val="28"/>
          <w:szCs w:val="28"/>
          <w:lang w:val="en-US"/>
        </w:rPr>
        <w:t xml:space="preserve"> trước ngày </w:t>
      </w:r>
      <w:r w:rsidR="009A24EF">
        <w:rPr>
          <w:sz w:val="28"/>
          <w:szCs w:val="28"/>
          <w:lang w:val="en-US"/>
        </w:rPr>
        <w:t xml:space="preserve">Thông tư này </w:t>
      </w:r>
      <w:r w:rsidRPr="00896964">
        <w:rPr>
          <w:sz w:val="28"/>
          <w:szCs w:val="28"/>
          <w:lang w:val="en-US"/>
        </w:rPr>
        <w:t>có hiệu lực thi hành được tiếp tục áp dụng đến thời điểm bị thay thế hoặc hủy bỏ theo quy định của pháp luật. Các hồ sơ đang trong quá trình giải quyết thực hiện theo quy định của pháp luật tại thời điểm tiếp nhận hồ sơ.</w:t>
      </w:r>
      <w:r w:rsidRPr="00896964">
        <w:rPr>
          <w:sz w:val="28"/>
          <w:szCs w:val="28"/>
          <w:lang w:val="en-US"/>
        </w:rPr>
        <w:t xml:space="preserve"> </w:t>
      </w:r>
    </w:p>
    <w:p w14:paraId="7570B35C" w14:textId="2624A528" w:rsidR="0014539D" w:rsidRPr="00806BED" w:rsidRDefault="00000000" w:rsidP="00E51B66">
      <w:pPr>
        <w:spacing w:before="120" w:after="120" w:line="340" w:lineRule="exact"/>
        <w:ind w:firstLine="709"/>
        <w:jc w:val="both"/>
        <w:rPr>
          <w:sz w:val="28"/>
          <w:szCs w:val="28"/>
        </w:rPr>
      </w:pPr>
      <w:r w:rsidRPr="00806BED">
        <w:rPr>
          <w:b/>
          <w:bCs/>
          <w:sz w:val="28"/>
          <w:szCs w:val="28"/>
        </w:rPr>
        <w:t xml:space="preserve">Điều </w:t>
      </w:r>
      <w:r w:rsidR="00896964">
        <w:rPr>
          <w:b/>
          <w:bCs/>
          <w:sz w:val="28"/>
          <w:szCs w:val="28"/>
          <w:lang w:val="en-US"/>
        </w:rPr>
        <w:t>4</w:t>
      </w:r>
      <w:r w:rsidRPr="00806BED">
        <w:rPr>
          <w:b/>
          <w:bCs/>
          <w:sz w:val="28"/>
          <w:szCs w:val="28"/>
        </w:rPr>
        <w:t>. Điều khoản thi hành</w:t>
      </w:r>
      <w:bookmarkEnd w:id="9"/>
    </w:p>
    <w:p w14:paraId="7F9DC109" w14:textId="77777777" w:rsidR="0014539D" w:rsidRPr="00806BED" w:rsidRDefault="00000000" w:rsidP="00E51B66">
      <w:pPr>
        <w:spacing w:before="120" w:after="120" w:line="340" w:lineRule="exact"/>
        <w:ind w:firstLine="709"/>
        <w:jc w:val="both"/>
        <w:rPr>
          <w:sz w:val="28"/>
          <w:szCs w:val="28"/>
        </w:rPr>
      </w:pPr>
      <w:r w:rsidRPr="00806BED">
        <w:rPr>
          <w:sz w:val="28"/>
          <w:szCs w:val="28"/>
        </w:rPr>
        <w:t>1. Thông tư này có hiệu lực thi hành kể từ ngày 15 tháng 02 năm 2026.</w:t>
      </w:r>
    </w:p>
    <w:p w14:paraId="620376C5" w14:textId="77777777" w:rsidR="0014539D" w:rsidRPr="00806BED" w:rsidRDefault="00000000" w:rsidP="00E51B66">
      <w:pPr>
        <w:spacing w:before="120" w:after="120" w:line="340" w:lineRule="exact"/>
        <w:ind w:firstLine="709"/>
        <w:jc w:val="both"/>
        <w:rPr>
          <w:sz w:val="28"/>
          <w:szCs w:val="28"/>
        </w:rPr>
      </w:pPr>
      <w:r w:rsidRPr="00806BED">
        <w:rPr>
          <w:sz w:val="28"/>
          <w:szCs w:val="28"/>
        </w:rPr>
        <w:t>2. Chánh Văn phòng Bộ, Vụ trưởng Vụ Pháp chế, Vụ trưởng, Cục trưởng các Vụ, Cục thuộc Bộ Y tế và các cơ quan, tổ chức, cá nhân có liên quan chịu trách nhiệm thi hành Thông tư này./.</w:t>
      </w:r>
    </w:p>
    <w:p w14:paraId="39F05130" w14:textId="77777777" w:rsidR="0014539D" w:rsidRPr="00806BED" w:rsidRDefault="00000000" w:rsidP="00FE075F">
      <w:r w:rsidRPr="00806BED">
        <w:t> </w:t>
      </w:r>
    </w:p>
    <w:tbl>
      <w:tblPr>
        <w:tblW w:w="9400" w:type="dxa"/>
        <w:tblBorders>
          <w:top w:val="nil"/>
          <w:bottom w:val="nil"/>
          <w:insideH w:val="nil"/>
          <w:insideV w:val="nil"/>
        </w:tblBorders>
        <w:tblCellMar>
          <w:left w:w="0" w:type="dxa"/>
          <w:right w:w="0" w:type="dxa"/>
        </w:tblCellMar>
        <w:tblLook w:val="04A0" w:firstRow="1" w:lastRow="0" w:firstColumn="1" w:lastColumn="0" w:noHBand="0" w:noVBand="1"/>
      </w:tblPr>
      <w:tblGrid>
        <w:gridCol w:w="5920"/>
        <w:gridCol w:w="3480"/>
      </w:tblGrid>
      <w:tr w:rsidR="0014539D" w:rsidRPr="00806BED" w14:paraId="0B42642A" w14:textId="77777777" w:rsidTr="00FE075F">
        <w:trPr>
          <w:trHeight w:val="3813"/>
        </w:trPr>
        <w:tc>
          <w:tcPr>
            <w:tcW w:w="5920" w:type="dxa"/>
            <w:tcBorders>
              <w:top w:val="nil"/>
              <w:left w:val="nil"/>
              <w:bottom w:val="nil"/>
              <w:right w:val="nil"/>
              <w:tl2br w:val="nil"/>
              <w:tr2bl w:val="nil"/>
            </w:tcBorders>
            <w:tcMar>
              <w:top w:w="0" w:type="dxa"/>
              <w:left w:w="108" w:type="dxa"/>
              <w:bottom w:w="0" w:type="dxa"/>
              <w:right w:w="108" w:type="dxa"/>
            </w:tcMar>
          </w:tcPr>
          <w:p w14:paraId="53676E4F" w14:textId="646C1ED6" w:rsidR="0014539D" w:rsidRPr="00806BED" w:rsidRDefault="00000000">
            <w:pPr>
              <w:spacing w:before="120"/>
            </w:pPr>
            <w:r w:rsidRPr="00806BED">
              <w:rPr>
                <w:b/>
                <w:bCs/>
                <w:i/>
                <w:iCs/>
              </w:rPr>
              <w:t>Nơi nhận:</w:t>
            </w:r>
            <w:r w:rsidRPr="00806BED">
              <w:rPr>
                <w:b/>
                <w:bCs/>
                <w:i/>
                <w:iCs/>
              </w:rPr>
              <w:br/>
            </w:r>
            <w:r w:rsidRPr="00FE075F">
              <w:rPr>
                <w:sz w:val="22"/>
                <w:szCs w:val="22"/>
              </w:rPr>
              <w:t>- Ban Bí thư Trung ương Đảng;</w:t>
            </w:r>
            <w:r w:rsidRPr="00FE075F">
              <w:rPr>
                <w:sz w:val="22"/>
                <w:szCs w:val="22"/>
              </w:rPr>
              <w:br/>
              <w:t>- Thủ tướng, các Phó Thủ tướng Chính phủ;</w:t>
            </w:r>
            <w:r w:rsidRPr="00FE075F">
              <w:rPr>
                <w:sz w:val="22"/>
                <w:szCs w:val="22"/>
              </w:rPr>
              <w:br/>
              <w:t>- Các bộ, cơ quan ngang bộ, cơ quan thuộc Chính phủ;</w:t>
            </w:r>
            <w:r w:rsidRPr="00FE075F">
              <w:rPr>
                <w:sz w:val="22"/>
                <w:szCs w:val="22"/>
              </w:rPr>
              <w:br/>
              <w:t>- HĐND, UBND các tỉnh, thành phố trực thuộc Trung ương;</w:t>
            </w:r>
            <w:r w:rsidRPr="00FE075F">
              <w:rPr>
                <w:sz w:val="22"/>
                <w:szCs w:val="22"/>
              </w:rPr>
              <w:br/>
              <w:t>- Văn phòng Trung ương và các Ban của Đảng;</w:t>
            </w:r>
            <w:r w:rsidRPr="00FE075F">
              <w:rPr>
                <w:sz w:val="22"/>
                <w:szCs w:val="22"/>
              </w:rPr>
              <w:br/>
              <w:t>- Văn phòng Tổng Bí thư;</w:t>
            </w:r>
            <w:r w:rsidRPr="00FE075F">
              <w:rPr>
                <w:sz w:val="22"/>
                <w:szCs w:val="22"/>
              </w:rPr>
              <w:br/>
              <w:t>- Văn phòng Chủ tịch nước;</w:t>
            </w:r>
            <w:r w:rsidRPr="00FE075F">
              <w:rPr>
                <w:sz w:val="22"/>
                <w:szCs w:val="22"/>
              </w:rPr>
              <w:br/>
              <w:t>- Hội đồng Dân tộc và các Ủy ban của Quốc hội;</w:t>
            </w:r>
            <w:r w:rsidRPr="00FE075F">
              <w:rPr>
                <w:sz w:val="22"/>
                <w:szCs w:val="22"/>
              </w:rPr>
              <w:br/>
              <w:t>- Văn phòng Quốc hội;</w:t>
            </w:r>
            <w:r w:rsidRPr="00FE075F">
              <w:rPr>
                <w:sz w:val="22"/>
                <w:szCs w:val="22"/>
              </w:rPr>
              <w:br/>
              <w:t>- Tòa án nhân dân tối cao;</w:t>
            </w:r>
            <w:r w:rsidRPr="00FE075F">
              <w:rPr>
                <w:sz w:val="22"/>
                <w:szCs w:val="22"/>
              </w:rPr>
              <w:br/>
              <w:t>- Viện kiểm sát nhân dân tối cao;</w:t>
            </w:r>
            <w:r w:rsidRPr="00FE075F">
              <w:rPr>
                <w:sz w:val="22"/>
                <w:szCs w:val="22"/>
              </w:rPr>
              <w:br/>
              <w:t>- Kiểm toán nhà nước;</w:t>
            </w:r>
            <w:r w:rsidRPr="00FE075F">
              <w:rPr>
                <w:sz w:val="22"/>
                <w:szCs w:val="22"/>
              </w:rPr>
              <w:br/>
              <w:t>- Ngân hàng Chính sách xã hội;</w:t>
            </w:r>
            <w:r w:rsidRPr="00FE075F">
              <w:rPr>
                <w:sz w:val="22"/>
                <w:szCs w:val="22"/>
              </w:rPr>
              <w:br/>
              <w:t>- Ngân hàng Phát triển Việt Nam;</w:t>
            </w:r>
            <w:r w:rsidRPr="00FE075F">
              <w:rPr>
                <w:sz w:val="22"/>
                <w:szCs w:val="22"/>
              </w:rPr>
              <w:br/>
              <w:t>- Ủy ban Trung ương Mặt trận Tổ quốc Việt Nam;</w:t>
            </w:r>
            <w:r w:rsidRPr="00FE075F">
              <w:rPr>
                <w:sz w:val="22"/>
                <w:szCs w:val="22"/>
              </w:rPr>
              <w:br/>
              <w:t>- Cơ quan Trung ương của các đoàn thể;</w:t>
            </w:r>
            <w:r w:rsidRPr="00FE075F">
              <w:rPr>
                <w:sz w:val="22"/>
                <w:szCs w:val="22"/>
              </w:rPr>
              <w:br/>
              <w:t>- Các đ/c Thứ trưởng Bộ Y tế (để phối hợp chỉ đạo);</w:t>
            </w:r>
            <w:r w:rsidRPr="00FE075F">
              <w:rPr>
                <w:sz w:val="22"/>
                <w:szCs w:val="22"/>
              </w:rPr>
              <w:br/>
              <w:t>- Các Sở Y tế tỉnh, thành phố trực thuộc Trung ương;</w:t>
            </w:r>
            <w:r w:rsidRPr="00FE075F">
              <w:rPr>
                <w:sz w:val="22"/>
                <w:szCs w:val="22"/>
              </w:rPr>
              <w:br/>
              <w:t>- Công báo; Cổng Thông tin điện tử Chính phủ;</w:t>
            </w:r>
            <w:r w:rsidRPr="00FE075F">
              <w:rPr>
                <w:sz w:val="22"/>
                <w:szCs w:val="22"/>
              </w:rPr>
              <w:br/>
              <w:t>- Các Vụ, Cục, Văn phòng Bộ - Bộ Y tế;</w:t>
            </w:r>
            <w:r w:rsidRPr="00FE075F">
              <w:rPr>
                <w:sz w:val="22"/>
                <w:szCs w:val="22"/>
              </w:rPr>
              <w:br/>
              <w:t>- Cổng Thông tin điện tử Bộ Y tế;</w:t>
            </w:r>
            <w:r w:rsidRPr="00FE075F">
              <w:rPr>
                <w:sz w:val="22"/>
                <w:szCs w:val="22"/>
              </w:rPr>
              <w:br/>
              <w:t>- Lưu: VT, PC.</w:t>
            </w:r>
          </w:p>
        </w:tc>
        <w:tc>
          <w:tcPr>
            <w:tcW w:w="3480" w:type="dxa"/>
            <w:tcBorders>
              <w:top w:val="nil"/>
              <w:left w:val="nil"/>
              <w:bottom w:val="nil"/>
              <w:right w:val="nil"/>
              <w:tl2br w:val="nil"/>
              <w:tr2bl w:val="nil"/>
            </w:tcBorders>
            <w:tcMar>
              <w:top w:w="0" w:type="dxa"/>
              <w:left w:w="108" w:type="dxa"/>
              <w:bottom w:w="0" w:type="dxa"/>
              <w:right w:w="108" w:type="dxa"/>
            </w:tcMar>
          </w:tcPr>
          <w:p w14:paraId="21FF8159" w14:textId="77777777" w:rsidR="00FE075F" w:rsidRDefault="00000000">
            <w:pPr>
              <w:spacing w:before="120"/>
              <w:jc w:val="center"/>
              <w:rPr>
                <w:sz w:val="28"/>
                <w:szCs w:val="28"/>
                <w:lang w:val="en-US"/>
              </w:rPr>
            </w:pPr>
            <w:r w:rsidRPr="00FE075F">
              <w:rPr>
                <w:b/>
                <w:bCs/>
                <w:sz w:val="28"/>
                <w:szCs w:val="28"/>
              </w:rPr>
              <w:t>BỘ TRƯỞNG</w:t>
            </w:r>
            <w:r w:rsidRPr="00FE075F">
              <w:rPr>
                <w:sz w:val="28"/>
                <w:szCs w:val="28"/>
              </w:rPr>
              <w:br/>
            </w:r>
          </w:p>
          <w:p w14:paraId="67347DD0" w14:textId="77777777" w:rsidR="00FE075F" w:rsidRDefault="00FE075F">
            <w:pPr>
              <w:spacing w:before="120"/>
              <w:jc w:val="center"/>
              <w:rPr>
                <w:sz w:val="28"/>
                <w:szCs w:val="28"/>
              </w:rPr>
            </w:pPr>
          </w:p>
          <w:p w14:paraId="41FFBEAA" w14:textId="6211FD6F" w:rsidR="0014539D" w:rsidRPr="00FE075F" w:rsidRDefault="00000000">
            <w:pPr>
              <w:spacing w:before="120"/>
              <w:jc w:val="center"/>
              <w:rPr>
                <w:sz w:val="28"/>
                <w:szCs w:val="28"/>
              </w:rPr>
            </w:pPr>
            <w:r w:rsidRPr="00FE075F">
              <w:rPr>
                <w:sz w:val="28"/>
                <w:szCs w:val="28"/>
              </w:rPr>
              <w:br/>
            </w:r>
            <w:r w:rsidRPr="00FE075F">
              <w:rPr>
                <w:sz w:val="28"/>
                <w:szCs w:val="28"/>
              </w:rPr>
              <w:br/>
            </w:r>
            <w:r w:rsidRPr="00FE075F">
              <w:rPr>
                <w:sz w:val="28"/>
                <w:szCs w:val="28"/>
              </w:rPr>
              <w:br/>
            </w:r>
            <w:r w:rsidRPr="00FE075F">
              <w:rPr>
                <w:sz w:val="28"/>
                <w:szCs w:val="28"/>
              </w:rPr>
              <w:br/>
            </w:r>
            <w:r w:rsidRPr="00FE075F">
              <w:rPr>
                <w:b/>
                <w:bCs/>
                <w:sz w:val="28"/>
                <w:szCs w:val="28"/>
              </w:rPr>
              <w:t>Đào Hồng Lan</w:t>
            </w:r>
          </w:p>
        </w:tc>
      </w:tr>
    </w:tbl>
    <w:p w14:paraId="0D096206" w14:textId="77777777" w:rsidR="00E71936" w:rsidRPr="00806BED" w:rsidRDefault="00000000">
      <w:pPr>
        <w:spacing w:before="120" w:after="280" w:afterAutospacing="1"/>
      </w:pPr>
      <w:r w:rsidRPr="00806BED">
        <w:t> </w:t>
      </w:r>
    </w:p>
    <w:sectPr w:rsidR="00E71936" w:rsidRPr="00806BED" w:rsidSect="00806BED">
      <w:headerReference w:type="default" r:id="rId7"/>
      <w:pgSz w:w="11907" w:h="16840" w:code="9"/>
      <w:pgMar w:top="1134" w:right="1134" w:bottom="1134" w:left="1701" w:header="510" w:footer="51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48308" w14:textId="77777777" w:rsidR="00F27EB6" w:rsidRDefault="00F27EB6" w:rsidP="00806BED">
      <w:r>
        <w:separator/>
      </w:r>
    </w:p>
  </w:endnote>
  <w:endnote w:type="continuationSeparator" w:id="0">
    <w:p w14:paraId="14929467" w14:textId="77777777" w:rsidR="00F27EB6" w:rsidRDefault="00F27EB6" w:rsidP="00806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29835" w14:textId="77777777" w:rsidR="00F27EB6" w:rsidRDefault="00F27EB6" w:rsidP="00806BED">
      <w:r>
        <w:separator/>
      </w:r>
    </w:p>
  </w:footnote>
  <w:footnote w:type="continuationSeparator" w:id="0">
    <w:p w14:paraId="229ADDB3" w14:textId="77777777" w:rsidR="00F27EB6" w:rsidRDefault="00F27EB6" w:rsidP="00806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A44E" w14:textId="77777777" w:rsidR="00806BED" w:rsidRDefault="00806BED">
    <w:pPr>
      <w:pStyle w:val="Header"/>
      <w:jc w:val="center"/>
    </w:pPr>
    <w:r>
      <w:fldChar w:fldCharType="begin"/>
    </w:r>
    <w:r>
      <w:instrText>PAGE   \* MERGEFORMAT</w:instrText>
    </w:r>
    <w:r>
      <w:fldChar w:fldCharType="separate"/>
    </w:r>
    <w:r>
      <w:t>2</w:t>
    </w:r>
    <w:r>
      <w:fldChar w:fldCharType="end"/>
    </w:r>
  </w:p>
  <w:p w14:paraId="614F1422" w14:textId="77777777" w:rsidR="00806BED" w:rsidRDefault="00806B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44E"/>
    <w:rsid w:val="00046777"/>
    <w:rsid w:val="0014539D"/>
    <w:rsid w:val="003248E7"/>
    <w:rsid w:val="00330472"/>
    <w:rsid w:val="0046244E"/>
    <w:rsid w:val="00692065"/>
    <w:rsid w:val="006A5076"/>
    <w:rsid w:val="00806BED"/>
    <w:rsid w:val="00896964"/>
    <w:rsid w:val="00907F95"/>
    <w:rsid w:val="009A24EF"/>
    <w:rsid w:val="00B578E4"/>
    <w:rsid w:val="00CB43DC"/>
    <w:rsid w:val="00E51B66"/>
    <w:rsid w:val="00E71936"/>
    <w:rsid w:val="00F27EB6"/>
    <w:rsid w:val="00FA0892"/>
    <w:rsid w:val="00FD46D8"/>
    <w:rsid w:val="00FE075F"/>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E61D76"/>
  <w15:chartTrackingRefBased/>
  <w15:docId w15:val="{95CF9AF7-5942-48DD-9891-4D54FA954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6BED"/>
    <w:pPr>
      <w:tabs>
        <w:tab w:val="center" w:pos="4513"/>
        <w:tab w:val="right" w:pos="9026"/>
      </w:tabs>
    </w:pPr>
  </w:style>
  <w:style w:type="character" w:customStyle="1" w:styleId="HeaderChar">
    <w:name w:val="Header Char"/>
    <w:link w:val="Header"/>
    <w:uiPriority w:val="99"/>
    <w:rsid w:val="00806BED"/>
    <w:rPr>
      <w:sz w:val="24"/>
      <w:szCs w:val="24"/>
    </w:rPr>
  </w:style>
  <w:style w:type="paragraph" w:styleId="Footer">
    <w:name w:val="footer"/>
    <w:basedOn w:val="Normal"/>
    <w:link w:val="FooterChar"/>
    <w:uiPriority w:val="99"/>
    <w:unhideWhenUsed/>
    <w:rsid w:val="00806BED"/>
    <w:pPr>
      <w:tabs>
        <w:tab w:val="center" w:pos="4513"/>
        <w:tab w:val="right" w:pos="9026"/>
      </w:tabs>
    </w:pPr>
  </w:style>
  <w:style w:type="character" w:customStyle="1" w:styleId="FooterChar">
    <w:name w:val="Footer Char"/>
    <w:link w:val="Footer"/>
    <w:uiPriority w:val="99"/>
    <w:rsid w:val="00806BED"/>
    <w:rPr>
      <w:sz w:val="24"/>
      <w:szCs w:val="24"/>
    </w:rPr>
  </w:style>
  <w:style w:type="character" w:styleId="Hyperlink">
    <w:name w:val="Hyperlink"/>
    <w:basedOn w:val="DefaultParagraphFont"/>
    <w:uiPriority w:val="99"/>
    <w:unhideWhenUsed/>
    <w:rsid w:val="003248E7"/>
    <w:rPr>
      <w:color w:val="467886" w:themeColor="hyperlink"/>
      <w:u w:val="single"/>
    </w:rPr>
  </w:style>
  <w:style w:type="character" w:styleId="UnresolvedMention">
    <w:name w:val="Unresolved Mention"/>
    <w:basedOn w:val="DefaultParagraphFont"/>
    <w:uiPriority w:val="99"/>
    <w:semiHidden/>
    <w:unhideWhenUsed/>
    <w:rsid w:val="003248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31146-D5B8-44B0-8E77-69E0029B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551</Words>
  <Characters>3141</Characters>
  <Application>Microsoft Office Word</Application>
  <DocSecurity>0</DocSecurity>
  <Lines>26</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 DUY</dc:creator>
  <cp:keywords/>
  <cp:lastModifiedBy>TRAN DUY</cp:lastModifiedBy>
  <cp:revision>4</cp:revision>
  <cp:lastPrinted>1899-12-31T17:00:00Z</cp:lastPrinted>
  <dcterms:created xsi:type="dcterms:W3CDTF">2026-01-25T04:33:00Z</dcterms:created>
  <dcterms:modified xsi:type="dcterms:W3CDTF">2026-01-26T02:25:00Z</dcterms:modified>
</cp:coreProperties>
</file>